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2280"/>
        <w:gridCol w:w="2340"/>
        <w:gridCol w:w="2175"/>
        <w:tblGridChange w:id="0">
          <w:tblGrid>
            <w:gridCol w:w="2715"/>
            <w:gridCol w:w="2280"/>
            <w:gridCol w:w="2340"/>
            <w:gridCol w:w="2175"/>
          </w:tblGrid>
        </w:tblGridChange>
      </w:tblGrid>
      <w:tr>
        <w:trPr>
          <w:trHeight w:val="480" w:hRule="atLeast"/>
        </w:trPr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Rates / night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4"/>
                <w:szCs w:val="24"/>
                <w:rtl w:val="0"/>
              </w:rPr>
              <w:t xml:space="preserve">por noche)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2p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One Bedroom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4"/>
                <w:szCs w:val="24"/>
                <w:rtl w:val="0"/>
              </w:rPr>
              <w:t xml:space="preserve">Casitas,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2p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2.5 Bedroom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Suite, 5p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Penthouse, 3p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Low Season*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Temporada Baja)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USD 60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USD 140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USD 75</w:t>
            </w:r>
          </w:p>
        </w:tc>
      </w:tr>
      <w:tr>
        <w:trPr>
          <w:trHeight w:val="440" w:hRule="atLeast"/>
        </w:trPr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High Season*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Temporada alta)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USD 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USD 180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USD 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Holiday Rates*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</w:t>
            </w:r>
            <w:r w:rsidDel="00000000" w:rsidR="00000000" w:rsidRPr="00000000">
              <w:rPr>
                <w:rFonts w:ascii="Georgia" w:cs="Georgia" w:eastAsia="Georgia" w:hAnsi="Georgia"/>
                <w:i w:val="1"/>
                <w:rtl w:val="0"/>
              </w:rPr>
              <w:t xml:space="preserve">Precios de Navidad y Año Nuevo)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USD 105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USD 200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USD 120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*High Season rates, November through May, except Holidays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*Holiday rates apply from Dec 21 to Jan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*Low Season, June through October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(Junio a Octubre)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﻿*Extra person (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persona extra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), $15US/night (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por noche)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*Three nights minimum stay </w:t>
      </w:r>
      <w:r w:rsidDel="00000000" w:rsidR="00000000" w:rsidRPr="00000000">
        <w:rPr>
          <w:rFonts w:ascii="Arial Unicode MS" w:cs="Arial Unicode MS" w:eastAsia="Arial Unicode MS" w:hAnsi="Arial Unicode MS"/>
          <w:i w:val="1"/>
          <w:sz w:val="24"/>
          <w:szCs w:val="24"/>
          <w:rtl w:val="0"/>
        </w:rPr>
        <w:t xml:space="preserve">(Mínimo 3 noches de estadía)﻿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